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4"/>
        <w:jc w:val="both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/>
    </w:p>
    <w:p>
      <w:pPr>
        <w:pStyle w:val="624"/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Правил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методики распределения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 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меры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2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139</w:t>
      </w:r>
      <w:r>
        <w:rPr>
          <w:rFonts w:ascii="Times New Roman" w:hAnsi="Times New Roman"/>
          <w:color w:val="000000"/>
          <w:sz w:val="28"/>
          <w:szCs w:val="28"/>
        </w:rPr>
        <w:t xml:space="preserve">.1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</w:t>
      </w:r>
      <w:r>
        <w:rPr>
          <w:rFonts w:ascii="Times New Roman" w:hAnsi="Times New Roman"/>
          <w:color w:val="000000"/>
          <w:sz w:val="28"/>
          <w:szCs w:val="28"/>
        </w:rPr>
        <w:t xml:space="preserve">ции, г</w:t>
      </w:r>
      <w:r>
        <w:rPr>
          <w:rFonts w:ascii="Times New Roman" w:hAnsi="Times New Roman"/>
          <w:color w:val="000000"/>
          <w:sz w:val="28"/>
          <w:szCs w:val="28"/>
        </w:rPr>
        <w:t xml:space="preserve">осударственной программой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«Модернизация объектов коммунальной инфраструктуры в Еврейской автономной области» на 2020 – 2025 годы, утвержденной постановлением правительства Еврейской автономной области от 08.04.2020 № 93-пп</w:t>
      </w:r>
      <w:r>
        <w:rPr>
          <w:rFonts w:ascii="Times New Roman" w:hAnsi="Times New Roman"/>
          <w:color w:val="000000"/>
          <w:sz w:val="28"/>
          <w:szCs w:val="28"/>
        </w:rPr>
        <w:t xml:space="preserve">, правительство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методику распределения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 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87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подписания</w:t>
      </w:r>
      <w:r>
        <w:rPr>
          <w:color w:val="000000"/>
          <w:lang w:eastAsia="ru-RU"/>
        </w:rPr>
        <w:t xml:space="preserve">.</w:t>
      </w:r>
      <w:r/>
    </w:p>
    <w:p>
      <w:pPr>
        <w:pStyle w:val="628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jc w:val="both"/>
        <w:tabs>
          <w:tab w:val="left" w:pos="7513" w:leader="none"/>
          <w:tab w:val="left" w:pos="793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8"/>
        <w:jc w:val="both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8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8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8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</w:t>
      </w:r>
      <w:r/>
    </w:p>
    <w:p>
      <w:pPr>
        <w:pStyle w:val="628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</w:t>
      </w:r>
      <w:r/>
    </w:p>
    <w:p>
      <w:pPr>
        <w:pStyle w:val="628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________ № _________</w:t>
      </w:r>
      <w:r/>
    </w:p>
    <w:p>
      <w:pPr>
        <w:pStyle w:val="6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4"/>
        <w:jc w:val="center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методика распределения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 из областного бюджета бюджетам муниципальных образований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3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624"/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/>
      <w:bookmarkStart w:id="0" w:name="P53"/>
      <w:r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Настоящие Правила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методика распределения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 из областного бюджета бюджетам муниципальных образований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</w:t>
      </w:r>
      <w:r>
        <w:rPr>
          <w:rFonts w:ascii="Times New Roman" w:hAnsi="Times New Roman"/>
          <w:sz w:val="28"/>
          <w:szCs w:val="28"/>
        </w:rPr>
        <w:t xml:space="preserve"> расходов по оплате коммунальных платежей </w:t>
      </w:r>
      <w:r>
        <w:rPr>
          <w:rFonts w:ascii="Times New Roman" w:hAnsi="Times New Roman"/>
          <w:sz w:val="28"/>
          <w:szCs w:val="28"/>
        </w:rPr>
        <w:t xml:space="preserve">учреждений бюджетной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Правила)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устанавливают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порядок и условия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методику распределения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 из областного бюджета бюджетам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мер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покрытию расходов по оплате коммунальных платежей учреждений бюджетной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трансферт)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624"/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Трансферт имеет целевое назначение и не может быть использован муниципальными образованиями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Еврейской автономной области (далее –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ое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на иные цели.</w:t>
      </w:r>
      <w:r/>
    </w:p>
    <w:p>
      <w:pPr>
        <w:pStyle w:val="624"/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z w:val="28"/>
          <w:szCs w:val="28"/>
        </w:rPr>
        <w:t xml:space="preserve">рансферт предоставляется муниципальным образованиям в целях софинансирования расходных обязательств муниципальных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связанных с </w:t>
      </w:r>
      <w:r>
        <w:rPr>
          <w:rFonts w:ascii="Times New Roman" w:hAnsi="Times New Roman"/>
          <w:sz w:val="28"/>
          <w:szCs w:val="28"/>
        </w:rPr>
        <w:t xml:space="preserve">покрытием расходов по оплате коммунальных платежей </w:t>
      </w:r>
      <w:r>
        <w:rPr>
          <w:rFonts w:ascii="Times New Roman" w:hAnsi="Times New Roman"/>
          <w:sz w:val="28"/>
          <w:szCs w:val="28"/>
        </w:rPr>
        <w:t xml:space="preserve">учреждений бюджетной сферы.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4"/>
        <w:numPr>
          <w:ilvl w:val="0"/>
          <w:numId w:val="6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рансферт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предоставляется в размере,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формуле: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4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8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т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SUM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vertAlign w:val="subscript"/>
        </w:rPr>
        <w:t xml:space="preserve">у</w:t>
      </w:r>
      <w:r>
        <w:rPr>
          <w:rFonts w:ascii="Times New Roman" w:hAnsi="Times New Roman"/>
          <w:sz w:val="28"/>
          <w:szCs w:val="28"/>
          <w:lang w:val="en-US"/>
        </w:rPr>
        <w:t xml:space="preserve">,</w:t>
      </w:r>
      <w:r/>
    </w:p>
    <w:p>
      <w:pPr>
        <w:pStyle w:val="68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vertAlign w:val="subscript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– размер трансферта;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  <w:vertAlign w:val="subscript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потребность на покрытие расходов по оплате коммунальных платежей учреждения</w:t>
      </w:r>
      <w:r>
        <w:rPr>
          <w:rFonts w:ascii="Times New Roman" w:hAnsi="Times New Roman"/>
          <w:sz w:val="28"/>
          <w:szCs w:val="28"/>
        </w:rPr>
        <w:t xml:space="preserve"> бюджетной сферы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SUM – знак суммирования.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4"/>
        <w:numPr>
          <w:ilvl w:val="0"/>
          <w:numId w:val="6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аспределение трансферта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утверждается распоряжением правительства Еврейской автономной области.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. Критерием отбора муниципального образования для предоставления трансферта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потребность 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покрытии расходов по оплате коммунальных платежей учреждениям бюджетной сферы.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. Трансферт предоставляется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департаментом строительства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департамент)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образованиям в пределах бюджетных ассигнований,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областном бюджете на очередной финансовый год и плановый 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цели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указанные в пункте 3 настоящих Правил,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сводной бюджетной росписью областного бюджета в пределах лимитов бюджетных обязательств.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ровень софинансирования расходного обязательства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трансферта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процентов расходного обязательства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Услови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оставления трансферта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r>
        <w:rPr>
          <w:rFonts w:ascii="Times New Roman" w:hAnsi="Times New Roman"/>
          <w:color w:val="000000"/>
          <w:sz w:val="28"/>
          <w:szCs w:val="28"/>
        </w:rPr>
        <w:t xml:space="preserve">у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покрыти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расходов по оплате коммунальных платежей учреждений бюджетной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трансферта осуществляется в соответствии с соглашением о предоставлении трансферта, заключенным между департаментом и муниципальным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Соглашение) в соответствии с типовой формой соглашения,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Электронный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путем перечисления средств на счет, открытый в территориальном органе Федерального казначейства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Оценка эффективности использования трансферта осуществляется </w:t>
      </w:r>
      <w:r>
        <w:rPr>
          <w:rFonts w:ascii="Times New Roman" w:hAnsi="Times New Roman"/>
          <w:sz w:val="28"/>
          <w:szCs w:val="28"/>
        </w:rPr>
        <w:t xml:space="preserve">департаментом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достигнутых муниципальным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установленных Соглашением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бюджетных ассигнований, предусмотренных в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</w:rPr>
        <w:t xml:space="preserve"> на финансовое обеспечение мероприятий, направленных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покрытие расходов по оплате коммунальных платежей </w:t>
      </w:r>
      <w:r>
        <w:rPr>
          <w:rFonts w:ascii="Times New Roman" w:hAnsi="Times New Roman" w:cs="Times New Roman"/>
          <w:sz w:val="28"/>
          <w:szCs w:val="28"/>
        </w:rPr>
        <w:t xml:space="preserve">учреждений бюджетной сферы</w:t>
      </w:r>
      <w:r>
        <w:rPr>
          <w:rFonts w:ascii="Times New Roman" w:hAnsi="Times New Roman"/>
          <w:color w:val="000000"/>
          <w:sz w:val="28"/>
          <w:szCs w:val="28"/>
        </w:rPr>
        <w:t xml:space="preserve">, может быть увеличен в одностороннем порядке, что не влечет за собой обязательств по увеличению размера предоставляемого трансферта.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представляет в департамент отчеты: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 осуществлении расходов бюджета муниципального образования, источником финансового обеспечения которых является трансферт, ежемесячно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позднее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числа месяца,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за отчетным месяцем;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достижении значений резуль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татов предоставления 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позднее 3 рабочих дней месяца, следующего за отче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тным периодом; ежегодные отчеты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позднее 15 рабочих дней месяца, следующего за отчетным 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ом; ежегодные уточненные отчеты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позднее 10 февраля года, следующего за отчетным.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 использованный в текущем финансовом году остаток трансферта подлежит перечислению в доход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бластного бюджета муниципальным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если муниципальным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31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допущены нарушения обязательств по Соглашению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до первой даты представления отчетности о достижении значений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 использования 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следующего за годом 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рассчитывается по формуле: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(V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x k x m / n)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 0,1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возврата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средств, подлежащий возврату из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областной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трансферта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 трансферта, предоставленного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отчетном финансовом году;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k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коэффициент возврата трансферта;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m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использования трансферта, по которым индекс, отражающий уровень недостижения i-го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использования трансферта, имеет положительное значение;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количество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объема средств, подлежащих возврату из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областной бюджет, в размере трансферта, предоставленного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отчетном финансовом году, не учитывается размер остатка трансферта, не использованного по состоянию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нваря текущего финансового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возврата трансферта рассчитывается по формуле: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k = SUM D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m,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87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где:</w:t>
      </w:r>
      <w:r/>
    </w:p>
    <w:p>
      <w:pPr>
        <w:pStyle w:val="687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k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коэффициент возврата трансферта;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индекс, отражающий уровень недостижения i-го результата использования трансферта;</w:t>
      </w:r>
      <w:r/>
    </w:p>
    <w:p>
      <w:pPr>
        <w:pStyle w:val="687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SUM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знак суммирования;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m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количество результатов использования трансферта, по которым индекс, отражающий уровень недостижения i-го результата использования трансферта, имеет положительное значение.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трансферта используются только положительные значения индекса, отражающего уровень недостижения i-го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недостижения i-го показателя результативности использования трансферта, определяется: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формуле: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D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T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S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где: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индекс, отражающий уровень недостижения i-го результата использования трансферта;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фактически достигнутое значение i-го результата использования трансферта на отчетную дату;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плановое значение i-го результата использования трансферта, установленное Соглашением;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формуле: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4"/>
        <w:ind w:firstLine="70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D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S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T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где: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индекс, отражающий уровень недостижения i-го результата использования трансферта;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плановое значение i-го результата использования трансферта, установленное Соглашением;</w:t>
      </w:r>
      <w:r/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фактически достигнутое значение i-го результата использования трансферта на отчетную дату.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  <w:r/>
    </w:p>
    <w:p>
      <w:pPr>
        <w:pStyle w:val="624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нарушения муниципальными образованиями условий использования трансферта и (или) невозврата неиспользованных остатков </w:t>
      </w:r>
      <w:r>
        <w:rPr>
          <w:rFonts w:ascii="Times New Roman" w:hAnsi="Times New Roman"/>
          <w:color w:val="000000"/>
          <w:sz w:val="28"/>
          <w:szCs w:val="28"/>
        </w:rPr>
        <w:t xml:space="preserve">трансферта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областной бюджет к ним 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  <w:lang w:val="en-US"/>
        </w:rPr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/>
      <w:bookmarkStart w:id="1" w:name="Par0"/>
      <w:r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HYPERLINK consultantplus://offline/ref=18DA09C1B96EF9514CB598E4C334EDBAC7D37AF4AF9114BFF118CE18FEA3D01962BB7EC55550C4647C33B363382F9BD58963F487105BB08F03A50CD312I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 при наличии основания, предусмотренного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HYPERLINK \l Par0 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абзацем первым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пункта, подг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отавливает заключение о причинах неисполнения муниципальным образованием соответствующих обязательств, а также 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Указанное заключение формируется не позднее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июня года, следующего за годом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едоставления трансферта,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органом местного самоуправления муниципального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местного самоуправления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применения мер ответственности,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HYPERLINK consultantplus://offline/ref=18DA09C1B96EF9514CB598E4C334EDBAC7D37AF4AF9114BFF118CE18FEA3D01962BB7EC55550C4647C33B363382F9BD58963F487105BB08F03A50CD312I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департамент не позднее 30-го рабочего дня после первой даты представления отчетности о достижении результатов использования трансферта в соответствии с Соглаш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ением в году, следующем за годом предоставления трансферта, направляет в орган местного самоуправления муниципального образования требование о возврате из бюджета муниципального образования в областной бюджет объема средств, рассчитанного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HYPERLINK consultantplus://offline/ref=18DA09C1B96EF9514CB598E4C334EDBAC7D37AF4AF9114BFF118CE18FEA3D01962BB7EC55550C4647C33B363382F9BD58963F487105BB08F03A50CD312I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с указанием суммы, подлежащей возврату, и сроков ее возврата в соответствии с настоящими Правилами (далее – требование о возврате).</w:t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 в случае полного или частичного неперечисления суммы, указанной в требовании о возврате, в течение 5 рабочих дней со дня истечения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HYPERLINK consultantplus://offline/ref=18DA09C1B96EF9514CB598E4C334EDBAC7D37AF4AF9114BFF118CE18FEA3D01962BB7EC55550C4647C33B363382F9BD58963F487105BB08F03A50CD312I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 сроков для возврата в областной бюджет средств из бюджета муниципального образования представляет информацию о неисполнении требования о возврате в департамент финансов правительства Еврейской автономной области.</w:t>
      </w:r>
      <w:r/>
    </w:p>
    <w:p>
      <w:pPr>
        <w:pStyle w:val="687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 финансов правительства Еврейской автономной области в срок не позднее 10 рабочих дней со дня получения указанной информации назнач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ает проверку исполнения органом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возврате в соответствии с утвержденными Прави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и оформление их результатов», «Реализация результатов проверок, ревизий и обследований».</w:t>
      </w:r>
      <w:r/>
    </w:p>
    <w:p>
      <w:pPr>
        <w:pStyle w:val="624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instrText xml:space="preserve"> HYPERLINK "consultantplus://offline/ref=ED6B2B3A47E1DA0CD68FE9A4F122C77B2EE1B634C90323F1EF4AFF4846163B1EE7588F8F864BB26B444F7D0974A303FB2F52D567695FEEB92E8E36uDd8F" </w:instrTex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соблюдением условий, целей и порядка расходования трансферта муниципальными образованиями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департаментом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органами государственного финансового контроля в порядке, установленном бюджетным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7460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1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4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90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24"/>
        <w:ind w:left="1545" w:hanging="100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24"/>
        <w:ind w:left="1545" w:hanging="1005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24"/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24"/>
        <w:ind w:left="16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24"/>
        <w:ind w:left="19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24"/>
        <w:ind w:left="19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24"/>
        <w:ind w:left="23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24"/>
        <w:ind w:left="27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4"/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4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2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2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2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2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2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2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2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24"/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4"/>
    <w:next w:val="62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4"/>
    <w:next w:val="62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4"/>
    <w:next w:val="62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4"/>
    <w:next w:val="62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4"/>
    <w:next w:val="62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4"/>
    <w:next w:val="62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4"/>
    <w:next w:val="62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4"/>
    <w:next w:val="62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4"/>
    <w:next w:val="62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4"/>
    <w:next w:val="62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4"/>
    <w:next w:val="62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4"/>
    <w:next w:val="62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4"/>
    <w:next w:val="62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625">
    <w:name w:val="Основной шрифт абзаца"/>
    <w:next w:val="625"/>
    <w:link w:val="624"/>
    <w:uiPriority w:val="1"/>
    <w:unhideWhenUsed/>
  </w:style>
  <w:style w:type="table" w:styleId="626">
    <w:name w:val="Обычная таблица"/>
    <w:next w:val="626"/>
    <w:link w:val="624"/>
    <w:uiPriority w:val="99"/>
    <w:semiHidden/>
    <w:unhideWhenUsed/>
    <w:tblPr/>
  </w:style>
  <w:style w:type="numbering" w:styleId="627">
    <w:name w:val="Нет списка"/>
    <w:next w:val="627"/>
    <w:link w:val="624"/>
    <w:uiPriority w:val="99"/>
    <w:semiHidden/>
    <w:unhideWhenUsed/>
  </w:style>
  <w:style w:type="paragraph" w:styleId="628">
    <w:name w:val="ConsPlusNormal"/>
    <w:next w:val="628"/>
    <w:link w:val="624"/>
    <w:pPr>
      <w:widowControl w:val="off"/>
    </w:pPr>
    <w:rPr>
      <w:sz w:val="22"/>
      <w:lang w:val="ru-RU" w:eastAsia="ru-RU" w:bidi="ar-SA"/>
    </w:rPr>
  </w:style>
  <w:style w:type="paragraph" w:styleId="629">
    <w:name w:val="ConsPlusNonformat"/>
    <w:next w:val="629"/>
    <w:link w:val="62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0">
    <w:name w:val="ConsPlusTitle"/>
    <w:next w:val="630"/>
    <w:link w:val="624"/>
    <w:pPr>
      <w:widowControl w:val="off"/>
    </w:pPr>
    <w:rPr>
      <w:b/>
      <w:sz w:val="22"/>
      <w:lang w:val="ru-RU" w:eastAsia="ru-RU" w:bidi="ar-SA"/>
    </w:rPr>
  </w:style>
  <w:style w:type="paragraph" w:styleId="631">
    <w:name w:val="ConsPlusCell"/>
    <w:next w:val="631"/>
    <w:link w:val="62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2">
    <w:name w:val="ConsPlusDocList"/>
    <w:next w:val="632"/>
    <w:link w:val="62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3">
    <w:name w:val="ConsPlusTitlePage"/>
    <w:next w:val="633"/>
    <w:link w:val="624"/>
    <w:pPr>
      <w:widowControl w:val="off"/>
    </w:pPr>
    <w:rPr>
      <w:rFonts w:ascii="Tahoma" w:hAnsi="Tahoma" w:cs="Tahoma"/>
      <w:lang w:val="ru-RU" w:eastAsia="ru-RU" w:bidi="ar-SA"/>
    </w:rPr>
  </w:style>
  <w:style w:type="paragraph" w:styleId="634">
    <w:name w:val="ConsPlusJurTerm"/>
    <w:next w:val="634"/>
    <w:link w:val="624"/>
    <w:pPr>
      <w:widowControl w:val="off"/>
    </w:pPr>
    <w:rPr>
      <w:rFonts w:ascii="Tahoma" w:hAnsi="Tahoma" w:cs="Tahoma"/>
      <w:sz w:val="26"/>
      <w:lang w:val="ru-RU" w:eastAsia="ru-RU" w:bidi="ar-SA"/>
    </w:rPr>
  </w:style>
  <w:style w:type="character" w:styleId="635">
    <w:name w:val="ng-isolate-scope"/>
    <w:next w:val="635"/>
    <w:link w:val="624"/>
    <w:rPr>
      <w:rFonts w:cs="Times New Roman"/>
    </w:rPr>
  </w:style>
  <w:style w:type="paragraph" w:styleId="636">
    <w:name w:val="Текст выноски"/>
    <w:basedOn w:val="624"/>
    <w:next w:val="636"/>
    <w:link w:val="6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7">
    <w:name w:val="Текст выноски Знак"/>
    <w:next w:val="637"/>
    <w:link w:val="636"/>
    <w:uiPriority w:val="99"/>
    <w:semiHidden/>
    <w:rPr>
      <w:rFonts w:ascii="Tahoma" w:hAnsi="Tahoma" w:cs="Tahoma"/>
      <w:sz w:val="16"/>
      <w:szCs w:val="16"/>
    </w:rPr>
  </w:style>
  <w:style w:type="paragraph" w:styleId="638">
    <w:name w:val="Верхний колонтитул"/>
    <w:basedOn w:val="624"/>
    <w:next w:val="638"/>
    <w:link w:val="6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>
    <w:name w:val="Верхний колонтитул Знак"/>
    <w:next w:val="639"/>
    <w:link w:val="638"/>
    <w:uiPriority w:val="99"/>
    <w:rPr>
      <w:rFonts w:cs="Times New Roman"/>
    </w:rPr>
  </w:style>
  <w:style w:type="paragraph" w:styleId="640">
    <w:name w:val="Нижний колонтитул"/>
    <w:basedOn w:val="624"/>
    <w:next w:val="640"/>
    <w:link w:val="6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>
    <w:name w:val="Нижний колонтитул Знак"/>
    <w:next w:val="641"/>
    <w:link w:val="640"/>
    <w:uiPriority w:val="99"/>
    <w:rPr>
      <w:rFonts w:cs="Times New Roman"/>
    </w:rPr>
  </w:style>
  <w:style w:type="paragraph" w:styleId="642">
    <w:name w:val="Абзац списка"/>
    <w:basedOn w:val="624"/>
    <w:next w:val="642"/>
    <w:link w:val="624"/>
    <w:uiPriority w:val="34"/>
    <w:qFormat/>
    <w:pPr>
      <w:contextualSpacing/>
      <w:ind w:left="720"/>
    </w:pPr>
  </w:style>
  <w:style w:type="paragraph" w:styleId="643">
    <w:name w:val="Текст концевой сноски"/>
    <w:basedOn w:val="624"/>
    <w:next w:val="643"/>
    <w:link w:val="64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4">
    <w:name w:val="Текст концевой сноски Знак"/>
    <w:next w:val="644"/>
    <w:link w:val="643"/>
    <w:uiPriority w:val="99"/>
    <w:semiHidden/>
    <w:rPr>
      <w:rFonts w:cs="Times New Roman"/>
      <w:sz w:val="20"/>
      <w:szCs w:val="20"/>
    </w:rPr>
  </w:style>
  <w:style w:type="character" w:styleId="645">
    <w:name w:val="Знак концевой сноски"/>
    <w:next w:val="645"/>
    <w:link w:val="624"/>
    <w:uiPriority w:val="99"/>
    <w:semiHidden/>
    <w:unhideWhenUsed/>
    <w:rPr>
      <w:rFonts w:cs="Times New Roman"/>
      <w:vertAlign w:val="superscript"/>
    </w:rPr>
  </w:style>
  <w:style w:type="paragraph" w:styleId="646">
    <w:name w:val="Текст сноски"/>
    <w:basedOn w:val="624"/>
    <w:next w:val="646"/>
    <w:link w:val="6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7">
    <w:name w:val="Текст сноски Знак"/>
    <w:next w:val="647"/>
    <w:link w:val="646"/>
    <w:uiPriority w:val="99"/>
    <w:semiHidden/>
    <w:rPr>
      <w:rFonts w:cs="Times New Roman"/>
      <w:sz w:val="20"/>
      <w:szCs w:val="20"/>
    </w:rPr>
  </w:style>
  <w:style w:type="character" w:styleId="648">
    <w:name w:val="Знак сноски"/>
    <w:next w:val="648"/>
    <w:link w:val="624"/>
    <w:uiPriority w:val="99"/>
    <w:semiHidden/>
    <w:unhideWhenUsed/>
    <w:rPr>
      <w:rFonts w:cs="Times New Roman"/>
      <w:vertAlign w:val="superscript"/>
    </w:rPr>
  </w:style>
  <w:style w:type="character" w:styleId="649">
    <w:name w:val="Замещающий текст"/>
    <w:next w:val="649"/>
    <w:link w:val="624"/>
    <w:uiPriority w:val="99"/>
    <w:semiHidden/>
    <w:rPr>
      <w:rFonts w:cs="Times New Roman"/>
      <w:color w:val="808080"/>
    </w:rPr>
  </w:style>
  <w:style w:type="paragraph" w:styleId="650">
    <w:name w:val="font5"/>
    <w:basedOn w:val="624"/>
    <w:next w:val="650"/>
    <w:link w:val="62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651">
    <w:name w:val="font6"/>
    <w:basedOn w:val="624"/>
    <w:next w:val="651"/>
    <w:link w:val="62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styleId="652">
    <w:name w:val="xl65"/>
    <w:basedOn w:val="624"/>
    <w:next w:val="652"/>
    <w:link w:val="624"/>
    <w:pPr>
      <w:jc w:val="center"/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3">
    <w:name w:val="xl66"/>
    <w:basedOn w:val="624"/>
    <w:next w:val="653"/>
    <w:link w:val="624"/>
    <w:pPr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4">
    <w:name w:val="xl67"/>
    <w:basedOn w:val="624"/>
    <w:next w:val="654"/>
    <w:link w:val="624"/>
    <w:pPr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5">
    <w:name w:val="xl68"/>
    <w:basedOn w:val="624"/>
    <w:next w:val="655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6">
    <w:name w:val="xl69"/>
    <w:basedOn w:val="624"/>
    <w:next w:val="656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7">
    <w:name w:val="xl70"/>
    <w:basedOn w:val="624"/>
    <w:next w:val="657"/>
    <w:link w:val="624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8">
    <w:name w:val="xl71"/>
    <w:basedOn w:val="624"/>
    <w:next w:val="658"/>
    <w:link w:val="624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59">
    <w:name w:val="xl72"/>
    <w:basedOn w:val="624"/>
    <w:next w:val="659"/>
    <w:link w:val="624"/>
    <w:pPr>
      <w:jc w:val="center"/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0">
    <w:name w:val="xl73"/>
    <w:basedOn w:val="624"/>
    <w:next w:val="660"/>
    <w:link w:val="624"/>
    <w:pPr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1">
    <w:name w:val="xl74"/>
    <w:basedOn w:val="624"/>
    <w:next w:val="661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2">
    <w:name w:val="xl75"/>
    <w:basedOn w:val="624"/>
    <w:next w:val="662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3">
    <w:name w:val="xl76"/>
    <w:basedOn w:val="624"/>
    <w:next w:val="663"/>
    <w:link w:val="624"/>
    <w:pPr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4">
    <w:name w:val="xl77"/>
    <w:basedOn w:val="624"/>
    <w:next w:val="664"/>
    <w:link w:val="624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5">
    <w:name w:val="xl78"/>
    <w:basedOn w:val="624"/>
    <w:next w:val="665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6">
    <w:name w:val="xl79"/>
    <w:basedOn w:val="624"/>
    <w:next w:val="666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7">
    <w:name w:val="xl80"/>
    <w:basedOn w:val="624"/>
    <w:next w:val="667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8">
    <w:name w:val="xl81"/>
    <w:basedOn w:val="624"/>
    <w:next w:val="668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69">
    <w:name w:val="xl82"/>
    <w:basedOn w:val="624"/>
    <w:next w:val="669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0">
    <w:name w:val="xl83"/>
    <w:basedOn w:val="624"/>
    <w:next w:val="670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1">
    <w:name w:val="xl84"/>
    <w:basedOn w:val="624"/>
    <w:next w:val="671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2">
    <w:name w:val="xl85"/>
    <w:basedOn w:val="624"/>
    <w:next w:val="672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3">
    <w:name w:val="xl86"/>
    <w:basedOn w:val="624"/>
    <w:next w:val="673"/>
    <w:link w:val="624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4">
    <w:name w:val="xl87"/>
    <w:basedOn w:val="624"/>
    <w:next w:val="674"/>
    <w:link w:val="624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5">
    <w:name w:val="xl88"/>
    <w:basedOn w:val="624"/>
    <w:next w:val="675"/>
    <w:link w:val="624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6">
    <w:name w:val="xl89"/>
    <w:basedOn w:val="624"/>
    <w:next w:val="676"/>
    <w:link w:val="624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7">
    <w:name w:val="xl90"/>
    <w:basedOn w:val="624"/>
    <w:next w:val="677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8">
    <w:name w:val="xl91"/>
    <w:basedOn w:val="624"/>
    <w:next w:val="678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79">
    <w:name w:val="xl92"/>
    <w:basedOn w:val="624"/>
    <w:next w:val="679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0">
    <w:name w:val="xl93"/>
    <w:basedOn w:val="624"/>
    <w:next w:val="680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1">
    <w:name w:val="xl94"/>
    <w:basedOn w:val="624"/>
    <w:next w:val="681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2">
    <w:name w:val="xl95"/>
    <w:basedOn w:val="624"/>
    <w:next w:val="682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3">
    <w:name w:val="xl96"/>
    <w:basedOn w:val="624"/>
    <w:next w:val="683"/>
    <w:link w:val="624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4">
    <w:name w:val="xl97"/>
    <w:basedOn w:val="624"/>
    <w:next w:val="684"/>
    <w:link w:val="624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685">
    <w:name w:val="xl98"/>
    <w:basedOn w:val="624"/>
    <w:next w:val="685"/>
    <w:link w:val="624"/>
    <w:pPr>
      <w:jc w:val="center"/>
      <w:spacing w:before="100" w:beforeAutospacing="1" w:after="100" w:afterAutospacing="1" w:line="240" w:lineRule="auto"/>
      <w:pBdr>
        <w:top w:val="single" w:color="000000" w:sz="8" w:space="0"/>
      </w:pBdr>
    </w:pPr>
    <w:rPr>
      <w:rFonts w:ascii="Times New Roman" w:hAnsi="Times New Roman"/>
      <w:sz w:val="24"/>
      <w:szCs w:val="24"/>
      <w:lang w:eastAsia="ru-RU"/>
    </w:rPr>
  </w:style>
  <w:style w:type="character" w:styleId="686">
    <w:name w:val="Гиперссылка"/>
    <w:next w:val="686"/>
    <w:link w:val="624"/>
    <w:uiPriority w:val="99"/>
    <w:unhideWhenUsed/>
    <w:rPr>
      <w:color w:val="0563c1"/>
      <w:u w:val="single"/>
    </w:rPr>
  </w:style>
  <w:style w:type="paragraph" w:styleId="687">
    <w:name w:val="Без интервала"/>
    <w:next w:val="687"/>
    <w:link w:val="624"/>
    <w:uiPriority w:val="1"/>
    <w:qFormat/>
    <w:rPr>
      <w:rFonts w:cs="Times New Roman"/>
      <w:sz w:val="22"/>
      <w:szCs w:val="22"/>
      <w:lang w:val="ru-RU" w:eastAsia="en-US" w:bidi="ar-SA"/>
    </w:rPr>
  </w:style>
  <w:style w:type="character" w:styleId="1605" w:default="1">
    <w:name w:val="Default Paragraph Font"/>
    <w:uiPriority w:val="1"/>
    <w:semiHidden/>
    <w:unhideWhenUsed/>
  </w:style>
  <w:style w:type="numbering" w:styleId="1606" w:default="1">
    <w:name w:val="No List"/>
    <w:uiPriority w:val="99"/>
    <w:semiHidden/>
    <w:unhideWhenUsed/>
  </w:style>
  <w:style w:type="table" w:styleId="16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Наталья Васильевна</dc:creator>
  <cp:revision>59</cp:revision>
  <dcterms:created xsi:type="dcterms:W3CDTF">2020-04-22T00:51:00Z</dcterms:created>
  <dcterms:modified xsi:type="dcterms:W3CDTF">2023-09-11T05:06:15Z</dcterms:modified>
  <cp:version>917504</cp:version>
</cp:coreProperties>
</file>